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992F6" w14:textId="6F36B683" w:rsidR="00E84B71" w:rsidRDefault="00E84B71" w:rsidP="00EE57F9">
      <w:pPr>
        <w:jc w:val="both"/>
        <w:rPr>
          <w:rFonts w:asciiTheme="minorHAnsi" w:hAnsiTheme="minorHAnsi" w:cs="Arial"/>
          <w:sz w:val="28"/>
          <w:szCs w:val="28"/>
        </w:rPr>
      </w:pPr>
    </w:p>
    <w:p w14:paraId="2104A917" w14:textId="4AD7A79A" w:rsidR="009E0CAF" w:rsidRDefault="009E0CAF" w:rsidP="00EE57F9">
      <w:pPr>
        <w:jc w:val="both"/>
        <w:rPr>
          <w:rFonts w:asciiTheme="minorHAnsi" w:hAnsiTheme="minorHAnsi" w:cs="Arial"/>
          <w:sz w:val="28"/>
          <w:szCs w:val="28"/>
        </w:rPr>
      </w:pPr>
    </w:p>
    <w:p w14:paraId="218B674A" w14:textId="1E04F93A" w:rsidR="009E0CAF" w:rsidRDefault="009E0CAF" w:rsidP="009E0CAF">
      <w:pPr>
        <w:autoSpaceDE w:val="0"/>
        <w:jc w:val="both"/>
        <w:rPr>
          <w:rFonts w:cs="Calibri"/>
          <w:b/>
          <w:u w:val="single"/>
        </w:rPr>
      </w:pPr>
      <w:r w:rsidRPr="00D70904">
        <w:rPr>
          <w:rFonts w:cs="Calibri"/>
          <w:b/>
          <w:u w:val="single"/>
        </w:rPr>
        <w:t>Abstrakt</w:t>
      </w:r>
      <w:r w:rsidR="008946CE">
        <w:rPr>
          <w:rFonts w:cs="Calibri"/>
          <w:b/>
          <w:u w:val="single"/>
        </w:rPr>
        <w:t xml:space="preserve"> odborného článku </w:t>
      </w:r>
      <w:r w:rsidR="008946CE" w:rsidRPr="008946CE">
        <w:rPr>
          <w:rFonts w:cs="Calibri"/>
          <w:b/>
          <w:u w:val="single"/>
        </w:rPr>
        <w:t>„</w:t>
      </w:r>
      <w:r w:rsidR="008946CE" w:rsidRPr="008946CE">
        <w:rPr>
          <w:b/>
          <w:bCs/>
          <w:u w:val="single"/>
        </w:rPr>
        <w:t xml:space="preserve">K. Model </w:t>
      </w:r>
      <w:proofErr w:type="spellStart"/>
      <w:r w:rsidR="008946CE" w:rsidRPr="008946CE">
        <w:rPr>
          <w:b/>
          <w:bCs/>
          <w:u w:val="single"/>
        </w:rPr>
        <w:t>of</w:t>
      </w:r>
      <w:proofErr w:type="spellEnd"/>
      <w:r w:rsidR="008946CE" w:rsidRPr="008946CE">
        <w:rPr>
          <w:b/>
          <w:bCs/>
          <w:u w:val="single"/>
        </w:rPr>
        <w:t xml:space="preserve"> SpO</w:t>
      </w:r>
      <w:r w:rsidR="008946CE" w:rsidRPr="008946CE">
        <w:rPr>
          <w:b/>
          <w:bCs/>
          <w:u w:val="single"/>
          <w:vertAlign w:val="subscript"/>
        </w:rPr>
        <w:t>2</w:t>
      </w:r>
      <w:r w:rsidR="008946CE" w:rsidRPr="008946CE">
        <w:rPr>
          <w:b/>
          <w:bCs/>
          <w:u w:val="single"/>
        </w:rPr>
        <w:t xml:space="preserve"> </w:t>
      </w:r>
      <w:proofErr w:type="spellStart"/>
      <w:r w:rsidR="008946CE" w:rsidRPr="008946CE">
        <w:rPr>
          <w:b/>
          <w:bCs/>
          <w:u w:val="single"/>
        </w:rPr>
        <w:t>signal</w:t>
      </w:r>
      <w:proofErr w:type="spellEnd"/>
      <w:r w:rsidR="008946CE" w:rsidRPr="008946CE">
        <w:rPr>
          <w:b/>
          <w:bCs/>
          <w:u w:val="single"/>
        </w:rPr>
        <w:t xml:space="preserve"> </w:t>
      </w:r>
      <w:proofErr w:type="spellStart"/>
      <w:r w:rsidR="008946CE" w:rsidRPr="008946CE">
        <w:rPr>
          <w:b/>
          <w:bCs/>
          <w:u w:val="single"/>
        </w:rPr>
        <w:t>of</w:t>
      </w:r>
      <w:proofErr w:type="spellEnd"/>
      <w:r w:rsidR="008946CE" w:rsidRPr="008946CE">
        <w:rPr>
          <w:b/>
          <w:bCs/>
          <w:u w:val="single"/>
        </w:rPr>
        <w:t xml:space="preserve"> </w:t>
      </w:r>
      <w:proofErr w:type="spellStart"/>
      <w:r w:rsidR="008946CE" w:rsidRPr="008946CE">
        <w:rPr>
          <w:b/>
          <w:bCs/>
          <w:u w:val="single"/>
        </w:rPr>
        <w:t>the</w:t>
      </w:r>
      <w:proofErr w:type="spellEnd"/>
      <w:r w:rsidR="008946CE" w:rsidRPr="008946CE">
        <w:rPr>
          <w:b/>
          <w:bCs/>
          <w:u w:val="single"/>
        </w:rPr>
        <w:t xml:space="preserve"> </w:t>
      </w:r>
      <w:proofErr w:type="spellStart"/>
      <w:r w:rsidR="008946CE" w:rsidRPr="008946CE">
        <w:rPr>
          <w:b/>
          <w:bCs/>
          <w:u w:val="single"/>
        </w:rPr>
        <w:t>neonate</w:t>
      </w:r>
      <w:proofErr w:type="spellEnd"/>
      <w:r w:rsidR="008946CE" w:rsidRPr="008946CE">
        <w:rPr>
          <w:b/>
          <w:bCs/>
          <w:u w:val="single"/>
        </w:rPr>
        <w:t>“</w:t>
      </w:r>
      <w:r w:rsidRPr="008946CE">
        <w:rPr>
          <w:rFonts w:cs="Calibri"/>
          <w:b/>
          <w:u w:val="single"/>
        </w:rPr>
        <w:t>:</w:t>
      </w:r>
    </w:p>
    <w:p w14:paraId="3FD9F366" w14:textId="77777777" w:rsidR="008946CE" w:rsidRPr="00D70904" w:rsidRDefault="008946CE" w:rsidP="009E0CAF">
      <w:pPr>
        <w:autoSpaceDE w:val="0"/>
        <w:jc w:val="both"/>
        <w:rPr>
          <w:rFonts w:cs="Calibri"/>
          <w:b/>
          <w:u w:val="single"/>
        </w:rPr>
      </w:pPr>
    </w:p>
    <w:p w14:paraId="59CBF839" w14:textId="77777777" w:rsidR="008946CE" w:rsidRPr="00207E2C" w:rsidRDefault="008946CE" w:rsidP="008946CE">
      <w:pPr>
        <w:pStyle w:val="Odstavecseseznamem"/>
        <w:numPr>
          <w:ilvl w:val="0"/>
          <w:numId w:val="1"/>
        </w:numPr>
        <w:spacing w:after="0"/>
      </w:pPr>
      <w:proofErr w:type="spellStart"/>
      <w:r w:rsidRPr="00207E2C">
        <w:rPr>
          <w:bCs/>
        </w:rPr>
        <w:t>H</w:t>
      </w:r>
      <w:r>
        <w:rPr>
          <w:bCs/>
        </w:rPr>
        <w:t>uttová</w:t>
      </w:r>
      <w:proofErr w:type="spellEnd"/>
      <w:r w:rsidRPr="00207E2C">
        <w:rPr>
          <w:bCs/>
        </w:rPr>
        <w:t>, V</w:t>
      </w:r>
      <w:r>
        <w:rPr>
          <w:bCs/>
        </w:rPr>
        <w:t xml:space="preserve">., Rafl, J., </w:t>
      </w:r>
      <w:proofErr w:type="spellStart"/>
      <w:r>
        <w:rPr>
          <w:bCs/>
        </w:rPr>
        <w:t>M</w:t>
      </w:r>
      <w:r>
        <w:rPr>
          <w:rFonts w:cs="Calibri"/>
          <w:bCs/>
        </w:rPr>
        <w:t>ō</w:t>
      </w:r>
      <w:r>
        <w:rPr>
          <w:bCs/>
        </w:rPr>
        <w:t>ller</w:t>
      </w:r>
      <w:proofErr w:type="spellEnd"/>
      <w:r>
        <w:rPr>
          <w:bCs/>
        </w:rPr>
        <w:t xml:space="preserve">, K., </w:t>
      </w:r>
      <w:proofErr w:type="spellStart"/>
      <w:r>
        <w:rPr>
          <w:bCs/>
        </w:rPr>
        <w:t>Bachman</w:t>
      </w:r>
      <w:proofErr w:type="spellEnd"/>
      <w:r>
        <w:rPr>
          <w:bCs/>
        </w:rPr>
        <w:t xml:space="preserve">, T.E., </w:t>
      </w:r>
      <w:r w:rsidRPr="008241E4">
        <w:rPr>
          <w:b/>
          <w:bCs/>
        </w:rPr>
        <w:t>Kudrna, P.</w:t>
      </w:r>
      <w:r>
        <w:rPr>
          <w:bCs/>
        </w:rPr>
        <w:t xml:space="preserve">, </w:t>
      </w:r>
      <w:proofErr w:type="spellStart"/>
      <w:r>
        <w:rPr>
          <w:bCs/>
        </w:rPr>
        <w:t>Royanek</w:t>
      </w:r>
      <w:proofErr w:type="spellEnd"/>
      <w:r>
        <w:rPr>
          <w:bCs/>
        </w:rPr>
        <w:t xml:space="preserve">, M., </w:t>
      </w:r>
      <w:proofErr w:type="spellStart"/>
      <w:r>
        <w:rPr>
          <w:bCs/>
        </w:rPr>
        <w:t>Roubik</w:t>
      </w:r>
      <w:proofErr w:type="spellEnd"/>
      <w:r>
        <w:rPr>
          <w:bCs/>
        </w:rPr>
        <w:t>, K.</w:t>
      </w:r>
      <w:r w:rsidRPr="00207E2C">
        <w:rPr>
          <w:bCs/>
        </w:rPr>
        <w:t xml:space="preserve"> Model </w:t>
      </w:r>
      <w:proofErr w:type="spellStart"/>
      <w:r w:rsidRPr="00207E2C">
        <w:rPr>
          <w:bCs/>
        </w:rPr>
        <w:t>of</w:t>
      </w:r>
      <w:proofErr w:type="spellEnd"/>
      <w:r w:rsidRPr="00207E2C">
        <w:rPr>
          <w:bCs/>
        </w:rPr>
        <w:t xml:space="preserve"> SpO</w:t>
      </w:r>
      <w:r w:rsidRPr="002367D1">
        <w:rPr>
          <w:bCs/>
          <w:vertAlign w:val="subscript"/>
        </w:rPr>
        <w:t>2</w:t>
      </w:r>
      <w:r w:rsidRPr="00207E2C">
        <w:rPr>
          <w:bCs/>
        </w:rPr>
        <w:t xml:space="preserve"> </w:t>
      </w:r>
      <w:proofErr w:type="spellStart"/>
      <w:r w:rsidRPr="00207E2C">
        <w:rPr>
          <w:bCs/>
        </w:rPr>
        <w:t>signal</w:t>
      </w:r>
      <w:proofErr w:type="spellEnd"/>
      <w:r w:rsidRPr="00207E2C">
        <w:rPr>
          <w:bCs/>
        </w:rPr>
        <w:t xml:space="preserve"> </w:t>
      </w:r>
      <w:proofErr w:type="spellStart"/>
      <w:r w:rsidRPr="00207E2C">
        <w:rPr>
          <w:bCs/>
        </w:rPr>
        <w:t>of</w:t>
      </w:r>
      <w:proofErr w:type="spellEnd"/>
      <w:r w:rsidRPr="00207E2C">
        <w:rPr>
          <w:bCs/>
        </w:rPr>
        <w:t xml:space="preserve"> </w:t>
      </w:r>
      <w:proofErr w:type="spellStart"/>
      <w:r w:rsidRPr="00207E2C">
        <w:rPr>
          <w:bCs/>
        </w:rPr>
        <w:t>the</w:t>
      </w:r>
      <w:proofErr w:type="spellEnd"/>
      <w:r w:rsidRPr="00207E2C">
        <w:rPr>
          <w:bCs/>
        </w:rPr>
        <w:t xml:space="preserve"> </w:t>
      </w:r>
      <w:proofErr w:type="spellStart"/>
      <w:r w:rsidRPr="00207E2C">
        <w:rPr>
          <w:bCs/>
        </w:rPr>
        <w:t>neonate</w:t>
      </w:r>
      <w:proofErr w:type="spellEnd"/>
      <w:r w:rsidRPr="00207E2C">
        <w:rPr>
          <w:bCs/>
        </w:rPr>
        <w:t xml:space="preserve">. </w:t>
      </w:r>
      <w:proofErr w:type="spellStart"/>
      <w:r w:rsidRPr="002367D1">
        <w:rPr>
          <w:bCs/>
          <w:i/>
        </w:rPr>
        <w:t>Current</w:t>
      </w:r>
      <w:proofErr w:type="spellEnd"/>
      <w:r w:rsidRPr="002367D1">
        <w:rPr>
          <w:bCs/>
          <w:i/>
        </w:rPr>
        <w:t xml:space="preserve"> </w:t>
      </w:r>
      <w:proofErr w:type="spellStart"/>
      <w:r w:rsidRPr="002367D1">
        <w:rPr>
          <w:bCs/>
          <w:i/>
        </w:rPr>
        <w:t>Directions</w:t>
      </w:r>
      <w:proofErr w:type="spellEnd"/>
      <w:r w:rsidRPr="002367D1">
        <w:rPr>
          <w:bCs/>
          <w:i/>
        </w:rPr>
        <w:t xml:space="preserve"> in </w:t>
      </w:r>
      <w:proofErr w:type="spellStart"/>
      <w:r w:rsidRPr="002367D1">
        <w:rPr>
          <w:bCs/>
          <w:i/>
        </w:rPr>
        <w:t>Biomedical</w:t>
      </w:r>
      <w:proofErr w:type="spellEnd"/>
      <w:r w:rsidRPr="002367D1">
        <w:rPr>
          <w:bCs/>
          <w:i/>
        </w:rPr>
        <w:t xml:space="preserve"> </w:t>
      </w:r>
      <w:proofErr w:type="spellStart"/>
      <w:r w:rsidRPr="002367D1">
        <w:rPr>
          <w:bCs/>
          <w:i/>
        </w:rPr>
        <w:t>Engineering</w:t>
      </w:r>
      <w:proofErr w:type="spellEnd"/>
      <w:r w:rsidRPr="00207E2C">
        <w:rPr>
          <w:bCs/>
        </w:rPr>
        <w:t>, 2019, 5</w:t>
      </w:r>
      <w:r>
        <w:rPr>
          <w:bCs/>
        </w:rPr>
        <w:t>(</w:t>
      </w:r>
      <w:r w:rsidRPr="00207E2C">
        <w:rPr>
          <w:bCs/>
        </w:rPr>
        <w:t>1</w:t>
      </w:r>
      <w:r>
        <w:rPr>
          <w:bCs/>
        </w:rPr>
        <w:t>)</w:t>
      </w:r>
      <w:r w:rsidRPr="00207E2C">
        <w:rPr>
          <w:bCs/>
        </w:rPr>
        <w:t>: 549</w:t>
      </w:r>
      <w:r>
        <w:rPr>
          <w:bCs/>
        </w:rPr>
        <w:t>–</w:t>
      </w:r>
      <w:r w:rsidRPr="00207E2C">
        <w:rPr>
          <w:bCs/>
        </w:rPr>
        <w:t xml:space="preserve">552. </w:t>
      </w:r>
      <w:r>
        <w:rPr>
          <w:bCs/>
        </w:rPr>
        <w:t xml:space="preserve">ISSN </w:t>
      </w:r>
    </w:p>
    <w:p w14:paraId="00FE7E80" w14:textId="77777777" w:rsidR="008946CE" w:rsidRPr="00207E2C" w:rsidRDefault="008946CE" w:rsidP="008946CE">
      <w:pPr>
        <w:pStyle w:val="Odstavecseseznamem"/>
        <w:spacing w:after="0"/>
        <w:ind w:left="360"/>
      </w:pPr>
      <w:r>
        <w:t xml:space="preserve">2364-5504. </w:t>
      </w:r>
      <w:r w:rsidRPr="009305C2">
        <w:rPr>
          <w:b/>
        </w:rPr>
        <w:t xml:space="preserve">Časopis </w:t>
      </w:r>
      <w:r>
        <w:rPr>
          <w:b/>
        </w:rPr>
        <w:t xml:space="preserve">recenzovaný </w:t>
      </w:r>
      <w:r w:rsidRPr="009305C2">
        <w:rPr>
          <w:b/>
        </w:rPr>
        <w:t>z databáze SCOPUS.</w:t>
      </w:r>
      <w:r>
        <w:t xml:space="preserve"> Viz příloha 1.</w:t>
      </w:r>
    </w:p>
    <w:p w14:paraId="762987C7" w14:textId="77777777" w:rsidR="008946CE" w:rsidRDefault="008946CE" w:rsidP="008946CE">
      <w:pPr>
        <w:pStyle w:val="Normlnweb"/>
        <w:ind w:left="360"/>
        <w:jc w:val="both"/>
        <w:rPr>
          <w:rFonts w:asciiTheme="minorHAnsi" w:hAnsiTheme="minorHAnsi"/>
          <w:sz w:val="22"/>
          <w:szCs w:val="22"/>
        </w:rPr>
      </w:pPr>
      <w:r w:rsidRPr="002367D1">
        <w:rPr>
          <w:rFonts w:asciiTheme="minorHAnsi" w:hAnsiTheme="minorHAnsi"/>
          <w:b/>
          <w:sz w:val="22"/>
          <w:szCs w:val="22"/>
        </w:rPr>
        <w:t>Abstra</w:t>
      </w:r>
      <w:r>
        <w:rPr>
          <w:rFonts w:asciiTheme="minorHAnsi" w:hAnsiTheme="minorHAnsi"/>
          <w:b/>
          <w:sz w:val="22"/>
          <w:szCs w:val="22"/>
        </w:rPr>
        <w:t>kt v Aj</w:t>
      </w:r>
      <w:r w:rsidRPr="002367D1">
        <w:rPr>
          <w:rFonts w:asciiTheme="minorHAnsi" w:hAnsiTheme="minorHAnsi"/>
          <w:b/>
          <w:sz w:val="22"/>
          <w:szCs w:val="22"/>
        </w:rPr>
        <w:t>:</w:t>
      </w:r>
      <w:r w:rsidRPr="00207E2C">
        <w:rPr>
          <w:rFonts w:asciiTheme="minorHAnsi" w:hAnsiTheme="minorHAnsi"/>
          <w:sz w:val="22"/>
          <w:szCs w:val="22"/>
        </w:rPr>
        <w:t xml:space="preserve"> </w:t>
      </w:r>
    </w:p>
    <w:p w14:paraId="3E47952B" w14:textId="7DDAFA66" w:rsidR="008946CE" w:rsidRPr="00207E2C" w:rsidRDefault="008946CE" w:rsidP="008946CE">
      <w:pPr>
        <w:pStyle w:val="Normlnweb"/>
        <w:ind w:left="360"/>
        <w:jc w:val="both"/>
        <w:rPr>
          <w:rFonts w:asciiTheme="minorHAnsi" w:hAnsiTheme="minorHAnsi" w:cs="TimesNewRomanPSMT"/>
          <w:sz w:val="22"/>
          <w:szCs w:val="22"/>
        </w:rPr>
      </w:pPr>
      <w:proofErr w:type="spellStart"/>
      <w:r>
        <w:rPr>
          <w:rFonts w:asciiTheme="minorHAnsi" w:hAnsiTheme="minorHAnsi" w:cs="TimesNewRomanPSMT"/>
          <w:sz w:val="22"/>
          <w:szCs w:val="22"/>
        </w:rPr>
        <w:t>T</w:t>
      </w:r>
      <w:r w:rsidRPr="00207E2C">
        <w:rPr>
          <w:rFonts w:asciiTheme="minorHAnsi" w:hAnsiTheme="minorHAnsi" w:cs="TimesNewRomanPSMT"/>
          <w:sz w:val="22"/>
          <w:szCs w:val="22"/>
        </w:rPr>
        <w:t>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advantages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automatic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control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fraction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inspired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oxygen in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neonates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have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been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documented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in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recently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published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clinical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trials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Many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control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algorithms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are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available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but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their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comparison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missing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in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literature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mathematical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model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neonatal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oxygen transport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could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useful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tool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to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compare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and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enhance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both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automatic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control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algorithms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and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manual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control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fraction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inspired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oxygen.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Besides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other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components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model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neonatal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oxygen transport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must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include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 module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linking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arterial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(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sz w:val="22"/>
          <w:szCs w:val="22"/>
        </w:rPr>
        <w:t xml:space="preserve">) and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peripheral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(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07E2C">
        <w:rPr>
          <w:rFonts w:asciiTheme="minorHAnsi" w:hAnsiTheme="minorHAnsi" w:cs="TimesNewRomanPSMT"/>
          <w:position w:val="-2"/>
          <w:sz w:val="22"/>
          <w:szCs w:val="22"/>
        </w:rPr>
        <w:t>2</w:t>
      </w:r>
      <w:r w:rsidRPr="00207E2C">
        <w:rPr>
          <w:rFonts w:asciiTheme="minorHAnsi" w:hAnsiTheme="minorHAnsi" w:cs="TimesNewRomanPSMT"/>
          <w:sz w:val="22"/>
          <w:szCs w:val="22"/>
        </w:rPr>
        <w:t xml:space="preserve">) oxygen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saturation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pulse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oximeter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module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must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reflect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issues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measurement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typical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for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clinical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practice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such as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overestimation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over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documented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by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several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studies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inaccurate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pulse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oximeter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readings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due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to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high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noise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aim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this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study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was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to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describe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both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bias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between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2 </w:t>
      </w:r>
      <w:r w:rsidRPr="00207E2C">
        <w:rPr>
          <w:rFonts w:asciiTheme="minorHAnsi" w:hAnsiTheme="minorHAnsi" w:cs="TimesNewRomanPSMT"/>
          <w:sz w:val="22"/>
          <w:szCs w:val="22"/>
        </w:rPr>
        <w:t xml:space="preserve">and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2 </w:t>
      </w:r>
      <w:r w:rsidRPr="00207E2C">
        <w:rPr>
          <w:rFonts w:asciiTheme="minorHAnsi" w:hAnsiTheme="minorHAnsi" w:cs="TimesNewRomanPSMT"/>
          <w:sz w:val="22"/>
          <w:szCs w:val="22"/>
        </w:rPr>
        <w:t xml:space="preserve">and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noise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characteristic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for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continuous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recording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for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computer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model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oxygenation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premature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infant.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sz w:val="22"/>
          <w:szCs w:val="22"/>
        </w:rPr>
        <w:t>–</w:t>
      </w:r>
      <w:r w:rsidRPr="002367D1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bias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,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derived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from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available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clinical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data,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describes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typical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deviation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2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measurement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as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function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true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value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in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three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different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2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intervals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measurement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noise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was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considered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as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random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process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that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affects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biased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2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values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each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time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point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with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statistical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properties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estimated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from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 w:cs="TimesNewRomanPSMT"/>
          <w:position w:val="-2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continuous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recordings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5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stable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newborns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results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study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will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help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to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adjust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a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computer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model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of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neonatal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oxygenation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to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real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situations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observed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in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the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clinical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practice</w:t>
      </w:r>
      <w:proofErr w:type="spellEnd"/>
      <w:r w:rsidRPr="00207E2C">
        <w:rPr>
          <w:rFonts w:asciiTheme="minorHAnsi" w:hAnsiTheme="minorHAnsi" w:cs="TimesNewRomanPSMT"/>
          <w:sz w:val="22"/>
          <w:szCs w:val="22"/>
        </w:rPr>
        <w:t xml:space="preserve">. </w:t>
      </w:r>
    </w:p>
    <w:p w14:paraId="5B3273F4" w14:textId="77777777" w:rsidR="008946CE" w:rsidRPr="00207E2C" w:rsidRDefault="008946CE" w:rsidP="008946CE">
      <w:pPr>
        <w:pStyle w:val="Normlnweb"/>
        <w:jc w:val="both"/>
        <w:rPr>
          <w:rFonts w:asciiTheme="minorHAnsi" w:hAnsiTheme="minorHAnsi"/>
          <w:sz w:val="22"/>
          <w:szCs w:val="22"/>
        </w:rPr>
      </w:pPr>
    </w:p>
    <w:p w14:paraId="39973B12" w14:textId="28BC2469" w:rsidR="008946CE" w:rsidRPr="00207E2C" w:rsidRDefault="008946CE" w:rsidP="008946CE">
      <w:pPr>
        <w:pStyle w:val="Normlnweb"/>
        <w:ind w:left="360"/>
        <w:jc w:val="both"/>
        <w:rPr>
          <w:rFonts w:asciiTheme="minorHAnsi" w:hAnsiTheme="minorHAnsi"/>
          <w:sz w:val="22"/>
          <w:szCs w:val="22"/>
        </w:rPr>
      </w:pPr>
      <w:r w:rsidRPr="002367D1">
        <w:rPr>
          <w:rFonts w:asciiTheme="minorHAnsi" w:hAnsiTheme="minorHAnsi"/>
          <w:b/>
          <w:sz w:val="22"/>
          <w:szCs w:val="22"/>
        </w:rPr>
        <w:t>Abstrakt</w:t>
      </w:r>
      <w:r>
        <w:rPr>
          <w:rFonts w:asciiTheme="minorHAnsi" w:hAnsiTheme="minorHAnsi"/>
          <w:b/>
          <w:sz w:val="22"/>
          <w:szCs w:val="22"/>
        </w:rPr>
        <w:t xml:space="preserve"> v </w:t>
      </w:r>
      <w:proofErr w:type="spellStart"/>
      <w:r>
        <w:rPr>
          <w:rFonts w:asciiTheme="minorHAnsi" w:hAnsiTheme="minorHAnsi"/>
          <w:b/>
          <w:sz w:val="22"/>
          <w:szCs w:val="22"/>
        </w:rPr>
        <w:t>Čj</w:t>
      </w:r>
      <w:proofErr w:type="spellEnd"/>
      <w:r w:rsidRPr="002367D1">
        <w:rPr>
          <w:rFonts w:asciiTheme="minorHAnsi" w:hAnsiTheme="minorHAnsi"/>
          <w:b/>
          <w:sz w:val="22"/>
          <w:szCs w:val="22"/>
        </w:rPr>
        <w:t>:</w:t>
      </w:r>
      <w:r w:rsidRPr="00207E2C">
        <w:rPr>
          <w:rFonts w:asciiTheme="minorHAnsi" w:hAnsiTheme="minorHAnsi"/>
          <w:sz w:val="22"/>
          <w:szCs w:val="22"/>
        </w:rPr>
        <w:t xml:space="preserve"> Výhody automatické kontroly frakce inspirovaného kyslíku u novorozenců byly dokumentovány v nedávno publikovaných klinických studiích. K dispozici je mnoho řídicích algoritmů, ale jejich srovnání v literatuře chybí. Matematický model přenosu novorozeneckého kyslíku by mohl být užitečným nástrojem pro porovnání a zlepšení jak automatických regulačních algoritmů, tak i ručního řízení frakce inspirovaného kyslíku. Kromě jiných složek musí model novorozeneckého přenosu kyslíku zahrnovat modul spojující arteriální (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>) a periferní (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) saturaci kyslíkem. Modul pulzního </w:t>
      </w:r>
      <w:proofErr w:type="spellStart"/>
      <w:r w:rsidRPr="00207E2C">
        <w:rPr>
          <w:rFonts w:asciiTheme="minorHAnsi" w:hAnsiTheme="minorHAnsi"/>
          <w:sz w:val="22"/>
          <w:szCs w:val="22"/>
        </w:rPr>
        <w:t>oxymetru</w:t>
      </w:r>
      <w:proofErr w:type="spellEnd"/>
      <w:r w:rsidRPr="00207E2C">
        <w:rPr>
          <w:rFonts w:asciiTheme="minorHAnsi" w:hAnsiTheme="minorHAnsi"/>
          <w:sz w:val="22"/>
          <w:szCs w:val="22"/>
        </w:rPr>
        <w:t xml:space="preserve"> musí odrážet problémy měření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typické pro klinickou praxi, jako je nadhodnocení teploty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nad SaO2 dokumentované několika studiemi, nebo nepřesné hodnoty pulzního </w:t>
      </w:r>
      <w:proofErr w:type="spellStart"/>
      <w:r w:rsidRPr="00207E2C">
        <w:rPr>
          <w:rFonts w:asciiTheme="minorHAnsi" w:hAnsiTheme="minorHAnsi"/>
          <w:sz w:val="22"/>
          <w:szCs w:val="22"/>
        </w:rPr>
        <w:t>oxymetru</w:t>
      </w:r>
      <w:proofErr w:type="spellEnd"/>
      <w:r w:rsidRPr="00207E2C">
        <w:rPr>
          <w:rFonts w:asciiTheme="minorHAnsi" w:hAnsiTheme="minorHAnsi"/>
          <w:sz w:val="22"/>
          <w:szCs w:val="22"/>
        </w:rPr>
        <w:t xml:space="preserve"> kvůli vysoké úrovni šumu. Cílem této studie bylo popsat jak vztahy mezi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a</w:t>
      </w:r>
      <w:r>
        <w:rPr>
          <w:rFonts w:asciiTheme="minorHAnsi" w:hAnsiTheme="minorHAnsi"/>
          <w:sz w:val="22"/>
          <w:szCs w:val="22"/>
        </w:rPr>
        <w:t> 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, tak šum, charakteristický pro kontinuální záznam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, pro počítačový model oxygenace předčasně narozeného dítěte. Vztah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–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SaO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>, odvozený z</w:t>
      </w:r>
      <w:r>
        <w:rPr>
          <w:rFonts w:asciiTheme="minorHAnsi" w:hAnsiTheme="minorHAnsi"/>
          <w:sz w:val="22"/>
          <w:szCs w:val="22"/>
        </w:rPr>
        <w:t> </w:t>
      </w:r>
      <w:r w:rsidRPr="00207E2C">
        <w:rPr>
          <w:rFonts w:asciiTheme="minorHAnsi" w:hAnsiTheme="minorHAnsi"/>
          <w:sz w:val="22"/>
          <w:szCs w:val="22"/>
        </w:rPr>
        <w:t xml:space="preserve">dostupných klinických údajů, popisuje typickou odchylku měření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jako funkci skutečné hodnoty SaO2 ve třech různých intervalech SaO2. Šum při měření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byl považován za náhodný jev, který ovlivňuje zkreslené hodnoty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v každém časovém bodě se statistickými vlastnostmi odhadovanými z kontinuálních záznamů </w:t>
      </w:r>
      <w:proofErr w:type="spellStart"/>
      <w:r w:rsidRPr="00207E2C">
        <w:rPr>
          <w:rFonts w:asciiTheme="minorHAnsi" w:hAnsiTheme="minorHAnsi" w:cs="TimesNewRomanPSMT"/>
          <w:sz w:val="22"/>
          <w:szCs w:val="22"/>
        </w:rPr>
        <w:t>SpO</w:t>
      </w:r>
      <w:proofErr w:type="spellEnd"/>
      <w:r w:rsidRPr="002367D1">
        <w:rPr>
          <w:rFonts w:asciiTheme="minorHAnsi" w:hAnsiTheme="minorHAnsi" w:cs="TimesNewRomanPSMT"/>
          <w:position w:val="-2"/>
          <w:sz w:val="22"/>
          <w:szCs w:val="22"/>
          <w:vertAlign w:val="subscript"/>
        </w:rPr>
        <w:t>2</w:t>
      </w:r>
      <w:r w:rsidRPr="00207E2C">
        <w:rPr>
          <w:rFonts w:asciiTheme="minorHAnsi" w:hAnsiTheme="minorHAnsi"/>
          <w:sz w:val="22"/>
          <w:szCs w:val="22"/>
        </w:rPr>
        <w:t xml:space="preserve"> od 5 stabilních novorozenců. Výsledky studie pomohou přizpůsobit počítačový model neonatální oxygenace skutečným situacím pozorovaným v klinické praxi.</w:t>
      </w:r>
      <w:bookmarkStart w:id="0" w:name="_GoBack"/>
      <w:bookmarkEnd w:id="0"/>
    </w:p>
    <w:sectPr w:rsidR="008946CE" w:rsidRPr="00207E2C" w:rsidSect="009211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9F022" w14:textId="77777777" w:rsidR="006E097B" w:rsidRDefault="006E097B" w:rsidP="00E84B71">
      <w:r>
        <w:separator/>
      </w:r>
    </w:p>
  </w:endnote>
  <w:endnote w:type="continuationSeparator" w:id="0">
    <w:p w14:paraId="38DB52D9" w14:textId="77777777" w:rsidR="006E097B" w:rsidRDefault="006E097B" w:rsidP="00E8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3B648" w14:textId="77777777" w:rsidR="00B541AD" w:rsidRPr="00B541AD" w:rsidRDefault="00B541AD" w:rsidP="00B541AD">
    <w:pPr>
      <w:pStyle w:val="Zpat"/>
      <w:jc w:val="center"/>
      <w:rPr>
        <w:rFonts w:asciiTheme="minorHAnsi" w:hAnsiTheme="minorHAnsi"/>
        <w:sz w:val="19"/>
        <w:szCs w:val="19"/>
      </w:rPr>
    </w:pPr>
    <w:r w:rsidRPr="00B541AD">
      <w:rPr>
        <w:rFonts w:asciiTheme="minorHAnsi" w:hAnsiTheme="minorHAnsi" w:cs="Arial"/>
        <w:sz w:val="19"/>
        <w:szCs w:val="19"/>
      </w:rPr>
      <w:t>Práce byla podpořena projektem „Péče o nezralé novorozence“, reg. č. CZ.2.16/3.1.00/21564, spolufinancovaným v rámci Operačního programu Praha – Konkurenceschopnost z 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D9A3E" w14:textId="77777777" w:rsidR="006E097B" w:rsidRDefault="006E097B" w:rsidP="00E84B71">
      <w:r>
        <w:separator/>
      </w:r>
    </w:p>
  </w:footnote>
  <w:footnote w:type="continuationSeparator" w:id="0">
    <w:p w14:paraId="360F2E72" w14:textId="77777777" w:rsidR="006E097B" w:rsidRDefault="006E097B" w:rsidP="00E84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83C4F" w14:textId="77777777" w:rsidR="00E84B71" w:rsidRDefault="00E84B71" w:rsidP="00E84B71">
    <w:pPr>
      <w:pStyle w:val="Zhlav"/>
      <w:jc w:val="center"/>
    </w:pPr>
    <w:r>
      <w:rPr>
        <w:noProof/>
      </w:rPr>
      <w:drawing>
        <wp:inline distT="0" distB="0" distL="0" distR="0" wp14:anchorId="27B62D76" wp14:editId="12FADDAA">
          <wp:extent cx="2883600" cy="745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600" cy="74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736A8"/>
    <w:multiLevelType w:val="hybridMultilevel"/>
    <w:tmpl w:val="6830916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7F9"/>
    <w:rsid w:val="00027EF1"/>
    <w:rsid w:val="00080634"/>
    <w:rsid w:val="000A1FD7"/>
    <w:rsid w:val="00104BA1"/>
    <w:rsid w:val="001242FE"/>
    <w:rsid w:val="0025361F"/>
    <w:rsid w:val="002B67B8"/>
    <w:rsid w:val="0039694C"/>
    <w:rsid w:val="0042745D"/>
    <w:rsid w:val="00476C63"/>
    <w:rsid w:val="004C388C"/>
    <w:rsid w:val="004D06FA"/>
    <w:rsid w:val="00540F4A"/>
    <w:rsid w:val="0054191E"/>
    <w:rsid w:val="00566CD1"/>
    <w:rsid w:val="006D6A40"/>
    <w:rsid w:val="006E097B"/>
    <w:rsid w:val="00737AF7"/>
    <w:rsid w:val="00780818"/>
    <w:rsid w:val="007A5269"/>
    <w:rsid w:val="007C4537"/>
    <w:rsid w:val="008946CE"/>
    <w:rsid w:val="008D2883"/>
    <w:rsid w:val="00910A3E"/>
    <w:rsid w:val="0091734C"/>
    <w:rsid w:val="00921188"/>
    <w:rsid w:val="009E0CAF"/>
    <w:rsid w:val="009F2EBB"/>
    <w:rsid w:val="00AD61F9"/>
    <w:rsid w:val="00B32875"/>
    <w:rsid w:val="00B44B0F"/>
    <w:rsid w:val="00B541AD"/>
    <w:rsid w:val="00BA3E74"/>
    <w:rsid w:val="00D37821"/>
    <w:rsid w:val="00D70904"/>
    <w:rsid w:val="00DF36AA"/>
    <w:rsid w:val="00E67BDC"/>
    <w:rsid w:val="00E843B6"/>
    <w:rsid w:val="00E84B71"/>
    <w:rsid w:val="00EE57F9"/>
    <w:rsid w:val="00F41031"/>
    <w:rsid w:val="00F7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5E561"/>
  <w15:docId w15:val="{FEC69D52-FF07-42E5-8F19-E70569F0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E57F9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B44B0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B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84B71"/>
    <w:rPr>
      <w:rFonts w:ascii="Calibri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84B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84B71"/>
    <w:rPr>
      <w:rFonts w:ascii="Calibri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B7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B71"/>
    <w:rPr>
      <w:rFonts w:ascii="Tahoma" w:hAnsi="Tahoma" w:cs="Tahoma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4191E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4191E"/>
    <w:rPr>
      <w:rFonts w:ascii="Consolas" w:hAnsi="Consolas" w:cs="Consolas"/>
      <w:sz w:val="21"/>
      <w:szCs w:val="21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44B0F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44B0F"/>
    <w:rPr>
      <w:color w:val="0000FF"/>
      <w:u w:val="single"/>
    </w:rPr>
  </w:style>
  <w:style w:type="paragraph" w:styleId="Odstavecseseznamem">
    <w:name w:val="List Paragraph"/>
    <w:basedOn w:val="Normln"/>
    <w:rsid w:val="009E0CAF"/>
    <w:pPr>
      <w:suppressAutoHyphens/>
      <w:autoSpaceDN w:val="0"/>
      <w:spacing w:after="160" w:line="242" w:lineRule="auto"/>
      <w:ind w:left="720"/>
      <w:textAlignment w:val="baseline"/>
    </w:pPr>
    <w:rPr>
      <w:rFonts w:eastAsia="Calibri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8946C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0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Všeobecná fakultní nemocnice v Praze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Holmanova Nadezda</dc:creator>
  <cp:lastModifiedBy>Holmanová Naděžda, Ing.</cp:lastModifiedBy>
  <cp:revision>3</cp:revision>
  <dcterms:created xsi:type="dcterms:W3CDTF">2020-01-14T12:42:00Z</dcterms:created>
  <dcterms:modified xsi:type="dcterms:W3CDTF">2020-01-14T12:44:00Z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63cd7f-2d21-486a-9f29-9c1683fdd175_Enabled">
    <vt:lpwstr>True</vt:lpwstr>
  </property>
  <property fmtid="{D5CDD505-2E9C-101B-9397-08002B2CF9AE}" pid="3" name="MSIP_Label_2063cd7f-2d21-486a-9f29-9c1683fdd175_SiteId">
    <vt:lpwstr>00000000-0000-0000-0000-000000000000</vt:lpwstr>
  </property>
  <property fmtid="{D5CDD505-2E9C-101B-9397-08002B2CF9AE}" pid="4" name="MSIP_Label_2063cd7f-2d21-486a-9f29-9c1683fdd175_Ref">
    <vt:lpwstr>https://api.informationprotection.azure.com/api/00000000-0000-0000-0000-000000000000</vt:lpwstr>
  </property>
  <property fmtid="{D5CDD505-2E9C-101B-9397-08002B2CF9AE}" pid="5" name="MSIP_Label_2063cd7f-2d21-486a-9f29-9c1683fdd175_Owner">
    <vt:lpwstr>9010@vfn.cz</vt:lpwstr>
  </property>
  <property fmtid="{D5CDD505-2E9C-101B-9397-08002B2CF9AE}" pid="6" name="MSIP_Label_2063cd7f-2d21-486a-9f29-9c1683fdd175_SetDate">
    <vt:lpwstr>2018-01-10T09:14:07.2394624+01:00</vt:lpwstr>
  </property>
  <property fmtid="{D5CDD505-2E9C-101B-9397-08002B2CF9AE}" pid="7" name="MSIP_Label_2063cd7f-2d21-486a-9f29-9c1683fdd175_Name">
    <vt:lpwstr>Veřejné</vt:lpwstr>
  </property>
  <property fmtid="{D5CDD505-2E9C-101B-9397-08002B2CF9AE}" pid="8" name="MSIP_Label_2063cd7f-2d21-486a-9f29-9c1683fdd175_Application">
    <vt:lpwstr>Microsoft Azure Information Protection</vt:lpwstr>
  </property>
  <property fmtid="{D5CDD505-2E9C-101B-9397-08002B2CF9AE}" pid="9" name="MSIP_Label_2063cd7f-2d21-486a-9f29-9c1683fdd175_Extended_MSFT_Method">
    <vt:lpwstr>Automatic</vt:lpwstr>
  </property>
  <property fmtid="{D5CDD505-2E9C-101B-9397-08002B2CF9AE}" pid="10" name="Sensitivity">
    <vt:lpwstr>Veřejné</vt:lpwstr>
  </property>
</Properties>
</file>